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ПОЛОЖЕНИЕ КОНКУРСА «ЛИДЕР КАЧЕСТВА»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1.1. Настоящее Положение о Конкурсе «Лидер качества» (далее — Положение) регулирует общий порядок и условия, права и обязанности участников, Организатора и других сторон, вовлеченных в процесс проведения Конкурса «Лидер качества» (далее — Кон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курс), организованного Автономной некоммерческой организацией «Российская система качества» (далее — Организатор).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1.2. Настоящее Положение определяет: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миссию, цели и задачи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сроки и место проведения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органы управления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состав участников и номинации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особенности, этапы и процедуры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методику и критерии оценки участников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награждения победителей и участников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организационной поддержки участников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обработки персональных данных участников;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права на результаты интеллектуальной деятельности;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порядок исключения участников из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1.3. Организатором Конкурса является Автономная некоммерческая организация «Российская система качества».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1.4. Конкурс учрежден в статусе открытого всероссийского. Участниками Конкурса могут быть граждане Российской Федерации в возрасте от 18 лет на момент подачи заявки.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1.5. Участие в Конкурсе является добровольным. Подача заявки означает согласие участника с условиями настоящего Положения.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1.6. Официальный язык Конкурса — русский.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1.7. Официальная страница Конкурса: </w:t>
      </w:r>
      <w:hyperlink r:id="rId11" w:tooltip="https://roskachestvo.gov.ru/q-leader/" w:history="1">
        <w:r>
          <w:rPr>
            <w:rStyle w:val="1322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https://roskachestvo.gov.ru/q-leader/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2. МИССИЯ, ЦЕЛИ И ЗАДАЧИ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2.1. 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Миссия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содействие выявлению, поддержке и продвижению лучших практик в области управления качеством, а также поощрение лидеров, внедряющих инновационные решения и способствующих повышению качества продукции и услуг в Российской Федерации. Конкурс также направлен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 развитие культуры качества на законодательном и практическом уровнях.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2.2. 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Цель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популяризация профессионализма в сфере качества, создание коммуникационной площадки для обмена опытом и лучшими практиками, а также формирование сообщества лидеров качества.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Задачи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1. Создание условий для честной конкуренции и обмена опытом внедрения лучших практик в области управления качеством.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2.3.2.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Выявление и поддержка лидеров, способствующих развитию культуры качества в России.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 Содействие развитию кадрового резерва в области качества.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2.3.4.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Продвижение практических достижений специалистов, работающих в области качества.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 Поощрение внедрения инновационных решений и оптимизации процессов для повышения качества продукции и услуг.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2.3.6.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Популяризация профессионализма и создание коммуникационной площадки для обмена опытом.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 Формирование и поддержка индивидуальных траекторий роста для участников и победителей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2.3.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 Содействие развитию нормативно-правовой базы в области качества.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3. СРОКИ И МЕСТО ПРОВЕДЕНИЯ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3.1. Конкурс проводится в период с марта 2025 года по ноябрь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3.2. Сроки проведения Конкурса могут быть изменены только в случае форс-мажорных обстоятельств с обязательным уведомлением участников через официальный сайт и другие каналы связи.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3.3. 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Этапы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Регистрация участников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с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val="en-US"/>
        </w:rPr>
        <w:t xml:space="preserve">20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марта 2025 года по 30 июня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Комплексное оценивание участников экспертами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с 1 июля 2025 года по 30 августа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Подведение и опубликование итогов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с 1 сентября 2025 года по 1 октября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Церемония награждения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В рамках Международного форума «Всемирный день качества — 2025».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3.4. Место проведения финальных мероприятий Конкурса: г. Москва, место проведения Награждения участников уточняется Организатором.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4. ОРГАНЫ УПРАВЛЕНИЯ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4.1. Органами управления Конкурса являются: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Наблюдательный совет Конкурса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Экспертный совет Конкурса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4.2. Состав органов управления Конкурса утверждается Организатором и публикуется на официальном сайте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4.3. 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Наблюдательный совет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формируется из числа руководителей коммерческих, некоммерческих и государственных организаций, в том числе государственных органов власти, и их заместителей. Члены Наблюдательного совета не могут быть участниками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Функции Наблюдательного совета: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5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Осуществление общего контроля за соблюдением процедуры проведения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5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Рассмотрение апелляций участников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5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Утверждение победителей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4.4. 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Экспертный совет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 формируется из числа экспертов в области качества с подтвержденным опытом работы не менее 5 лет, утверждается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Организатором и публикуется на официальном сайте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Функции Экспертного совета: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Проверка полноты комплектов документов, представленных участниками.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Анализ и оценка конкурсной документации в соответствии с методикой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Определение победителей в соответствии с методикой Конкурса и передача отчета о результатах оценки в Наблюдательный совет.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5. СОСТАВ УЧАСТНИКОВ И НОМИНАЦИИ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5.1. Участником Конкурса может быть гражданин Российской Федерации в возрасте от 18 лет на момент подачи заявки. Участники обязаны предоставить подтверждение своего профессионального опыта.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5.2. Участники самостоятельно определяют номинацию Конкурса в соответствии со своим опытом и выполняемыми функциями.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5.3. 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Номинации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5.3.1.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Лучшие практики ESG в области качества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направлена на выявление и поощрение стратегий, инициатив и проектов, которые эффективно интегрируют экологические, социальные и управленческие принципы (ESG) в практики управления качеством.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Номинация включает в себя подноминации: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1344"/>
        <w:numPr>
          <w:ilvl w:val="0"/>
          <w:numId w:val="184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Выдающийся вклад в развитие лучших практик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ESG в области качества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признает специалистов, которые внесли значительный и долгосрочный вклад в развитие лучших практик управления качеством, включая внедрение ESG-принципов.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44"/>
        <w:numPr>
          <w:ilvl w:val="0"/>
          <w:numId w:val="184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Лидер наставничества в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ESG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</w:p>
    <w:p>
      <w:pPr>
        <w:contextualSpacing/>
        <w:ind w:left="709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отмечает профессионалов, которые активно делятся своими знаниями и опытом, помогая развивать компетенции других специалистов в сфере ESG и качества.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44"/>
        <w:numPr>
          <w:ilvl w:val="0"/>
          <w:numId w:val="185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Лучший профессионал года в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ESG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присуждается специалисту, который продемонстрировал выдающиеся достижения в сфере управления качеством, внедрив эффективные ESG-практики и методы.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44"/>
        <w:numPr>
          <w:ilvl w:val="0"/>
          <w:numId w:val="185"/>
        </w:numPr>
        <w:contextualSpacing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Перспективный талант в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ESG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предназначена для начинающих специалистов, проявивших выдающиеся способности и инновационные идеи в области ESG и качества.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  <w:highlight w:val="none"/>
        </w:rPr>
      </w:r>
    </w:p>
    <w:p>
      <w:pPr>
        <w:pStyle w:val="1170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5.3.2.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Лучшие цифровые инновации в области качества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направлена на выявление инициатив, которые используют цифровые технологии для улучшения управления качеством.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contextualSpacing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Номинация включает в себя подноминации: 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1344"/>
        <w:numPr>
          <w:ilvl w:val="0"/>
          <w:numId w:val="18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Выдающийся вклад в развитие практик управления в области цифровых инноваций</w:t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признает специалистов, которые внесли значительный вклад в развитие цифровых практик управления качеством.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44"/>
        <w:numPr>
          <w:ilvl w:val="0"/>
          <w:numId w:val="18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Лидер наставничества в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цифровых инноваций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отмечает профессионалов, которые активно делятся своими знаниями в области цифровых технологий и качества.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44"/>
        <w:numPr>
          <w:ilvl w:val="0"/>
          <w:numId w:val="18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Лучший профессионал года в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цифровых инноваций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присуждается специалисту, который продемонстрировал выдающиеся достижения в сфере цифровых инноваций и качества.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44"/>
        <w:numPr>
          <w:ilvl w:val="0"/>
          <w:numId w:val="186"/>
        </w:numPr>
        <w:contextualSpacing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Перспективный талант в области 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цифровых инноваций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Номинация предназначена для начинающих специалистов, проявивших инновационные идеи в области цифровых технологий и качества.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5.3.3.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Лучшие практики бережливого производства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поддерживает инициативы, направленные на оптимизацию процессов, повышение качества продукции и услуг, а также внедрение принципов устойчивого развития.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contextualSpacing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Номинация включает в себя подноминации: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1344"/>
        <w:numPr>
          <w:ilvl w:val="0"/>
          <w:numId w:val="187"/>
        </w:numPr>
        <w:contextualSpacing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Выдающийся вклад в развитие практик бережливого производства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contextualSpacing/>
        <w:ind w:left="709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признает специалистов, которые внесли значительный вклад в развитие и внедрение бережливых практик в организациях.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pStyle w:val="1344"/>
        <w:numPr>
          <w:ilvl w:val="0"/>
          <w:numId w:val="188"/>
        </w:numPr>
        <w:contextualSpacing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Лидер наставничества в области бережливого производства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contextualSpacing/>
        <w:ind w:left="709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отмечает профессионалов, которые активно делятся своими знаниями и опытом в области бережливого производства, обучая коллег и внедряя культуру непрерывного улучшения.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pStyle w:val="1344"/>
        <w:numPr>
          <w:ilvl w:val="0"/>
          <w:numId w:val="189"/>
        </w:numPr>
        <w:contextualSpacing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Лучший профессионал года в области бережливого производства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contextualSpacing/>
        <w:ind w:left="709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присуждается специалисту, который продемонстрировал выдающиеся достижения в сфере бережливого производства, внедрив эффективные практики и добившись значительных результатов.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pStyle w:val="1344"/>
        <w:numPr>
          <w:ilvl w:val="0"/>
          <w:numId w:val="190"/>
        </w:numPr>
        <w:contextualSpacing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  <w:t xml:space="preserve">Перспективный талант в области бережливого производства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contextualSpacing/>
        <w:ind w:left="709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предназначена для начинающих специалистов, которые проявили инновационные идеи и способности в области бережливого производства, даже на начальных этапах своей карьеры.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4"/>
          <w:szCs w:val="24"/>
          <w:u w:val="none"/>
        </w:rPr>
      </w:r>
    </w:p>
    <w:p>
      <w:pPr>
        <w:pStyle w:val="1170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t xml:space="preserve">5.3.4.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Визионерские инициативы в области качества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br/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Номинация поддерживает инициативы, направленные на создание устойчивых и эффективных систем управления качеством, которые ориентированы на долгосрочные результаты.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70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5.3.5. 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Лучшие практики метрологического обеспечения качества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jc w:val="both"/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Номинация направлена на выявление и поощрение лучших специалистов в области метрологии,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которые внедряют инновационные методы измерений, стандартизации и контроля, обеспечивая высокую точность и достоверность данных для управления качеством продукции и усл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уг.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jc w:val="both"/>
      </w:pPr>
      <w:r/>
      <w:r/>
    </w:p>
    <w:p>
      <w:pPr>
        <w:contextualSpacing/>
        <w:jc w:val="both"/>
        <w:spacing w:line="360" w:lineRule="auto"/>
      </w:pPr>
      <w:r/>
      <w:r/>
    </w:p>
    <w:p>
      <w:pPr>
        <w:contextualSpacing/>
        <w:jc w:val="both"/>
        <w:spacing w:line="360" w:lineRule="auto"/>
      </w:pPr>
      <w:r/>
      <w:r/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6. ЭТАПЫ И ПРОЦЕДУРЫ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6.1. 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Этапы Конкурса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8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Заявочный этап (10.03.2025–30.06.2025)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Участники заполняют форму заявки и по желанию прикрепляют до восьми слайдов PowerPoint в поддержку своей заявки.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8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Оценка заявок экспертами (01.07.2025–30.08.2025)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Проводится первичная проверка заявок на соответствие формальным требованиям. Каждая заявка оценивается группой экспертов.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78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Подведение итогов и награждение (01.09.2025–13.11.2025)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 Экспертный совет выявляет победителей, Наблюдательный совет утверждает их путем голосования. Церемония награждения проводится 13 ноября 2025 года.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6.2. Участники имеют право подать апелляцию в случае несогласия с оценкой экспертов. Апелляции рассматриваются Наблюдательным советом в течение 10 рабочих дней.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7. МЕТОДИКА И КРИТЕРИИ ОЦЕНКИ УЧАСТНИКОВ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7.1. 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Критерии оценки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highlight w:val="none"/>
        </w:rPr>
      </w:r>
    </w:p>
    <w:p>
      <w:pPr>
        <w:pStyle w:val="1170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7.1.1. Номинация Выдающийся вклад в развитие ESG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2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 или технологий, способствующих интеграции ESG-принципов в управление качеством.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2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Уникальность предложенных решений.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3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проектов, которые привели к улучшению экологических, социальных и управленческих показателей.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3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Доказанная эффективность внедренных практик.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и экологическое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4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Измеримое положительное влияние на окружающую среду, общество и корпоративное управление.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4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Вклад в устойчивое развитие организации или отрасли.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Масштабируемость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5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Возможность применения практик в других организациях или отраслях.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5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Потенциал для тиражирования и внедрения на национальном или международном уровне.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Соответствие законодательству РФ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Соблюдение нормативно-правовых требований в области ESG.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70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7.1.2. Номинация Лидер наставничества в области ESG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Обучение и развитие кадров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7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Количество обученных специалистов и их успехи в области ESG.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7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Разработка образовательных программ, тренингов или методических материалов.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Передача опыта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8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Активное участие в наставничестве, консультировании и поддержке коллег.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8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влияние на повышение компетенций других специалистов.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 знаний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9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проектов, разработанных под руководством наставника.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99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Успешное внедрение ESG-практик в организациях, где работают ученики.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00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Вклад в развитие культуры ESG в профессиональном сообществе.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00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Участие в общественных инициативах, направленных на популяризацию ESG.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70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7.1.3. Номинация Лучший профессионал года в области ESG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Профессиональные достижения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0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значимых проектов в области ESG, которые привели к улучшению качества продукции или услуг.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0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лидерство в управлении ESG-инициативами.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02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 или технологий, способствующих развитию ESG.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и экологическое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03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Измеримое положительное влияние на окружающую среду и общество.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Репутация и признание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04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Наличие наград, публикаций или признания в профессиональном сообществе.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Масштабируемость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05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Возможность применения разработанных практик в других организациях.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70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7.1.4. Номинация Перспективный талант в области ESG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Инновационные идеи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0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Предложение новых подходов или решений в области ESG.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Потенциал для развития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07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Демонстрация способностей к дальнейшему профессиональному росту.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08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 или инициатив, даже на начальном этапе.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09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Вклад в развитие ESG-культуры в организации или сообществе.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Образовательные достижения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10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Участие в образовательных программах, тренингах или научных исследованиях.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70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7.1.5. Номинация Выдающийся вклад в цифровые практики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1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Разработка и внедрение новых цифровых технологий, улучшающих управление качеством.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12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проектов, которые привели к повышению качества продукции или услуг.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Эффективность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13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улучшение процессов за счет цифровых решений.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Масштабируемость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14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Возможность применения технологий в других организациях или отраслях.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Соответствие законодательству РФ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15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Соблюдение нормативно-правовых требований в области цифровых технологий.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70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7.1.6. Номинация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 Лидер наставничества в цифровых инновациях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Обучение и развитие кадров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1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Количество обученных специалистов и их успехи в области цифровых технологий.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Передача опыта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17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Активное участие в наставничестве и консультировании.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 знаний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18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проектов, разработанных под руководством наставника.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19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 или технологий в образовательный процесс.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70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7.1.7.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Лучший профессионал года в цифровых инновациях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Профессиональные достижения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20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значимых проектов в области цифровых технологий.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2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 или технологий.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Эффективность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22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улучшение процессов за счет цифровых решений.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Репутация и признание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23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Наличие наград, публикаций или признания в профессиональном сообществе.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70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7.1.8.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Перспективный талант в цифровых инновациях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Инновационные идеи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24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Предложение новых подходов или решений в области цифровых технологий.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Потенциал для развития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25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Демонстрация способностей к дальнейшему профессиональному росту.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2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Реализация проектов или инициатив, даже на начальном этапе.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</w:p>
    <w:p>
      <w:pPr>
        <w:pStyle w:val="1168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7.1.9.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Выдающийся вклад в развитие практик бережливого производства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2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подходов, методик или технологий в бережливое производство.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2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проектов, которые привели к значительному улучшению процессов.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Экономический эффект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2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снижение издержек или повышение прибыльности.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Масштабируемость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2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Возможность применения практик в других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организациях/отраслях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3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Улучшение условий труда, вовлеченности сотрудников или безопасности на производстве.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68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7.1.10.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Лидер наставничества в области бережливого производства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Количество обученных специалистов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4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Число сотрудников, прошедших обучение под руководством наставника.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 учениками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4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Количество проектов, реализованных учениками под руководством наставника.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Качество обучения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4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Уровень удовлетворенности сотрудников обучением (по результатам опросов).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практик в организациях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4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Количество организаций или подразделений, где были внедрены практики, переданные наставником.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Долгосрочный эффект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5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Устойчивость результатов, достигнутых благодаря наставничеству.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68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7.1.11. Номинация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 Лучший профессионал года в области бережливого производства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Профессиональные достижения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значимых проектов, которые привели к улучшению процессов.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 или технологий в бережливое производство.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Экономический эффект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снижение издержек или повышение прибыльности.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6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Улучшение условий труда, вовлеченности сотрудников или безопасности на производстве.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Репутация и признание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7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Наличие наград, публикаций или признания в профессиональном сообществе.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68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7.1.12.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 Перспективный талант в области бережливого производства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u w:val="singl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Инновационные идеи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8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Предложение новых подходов или решений в области бережливого производства.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8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проектов или инициатив, даже на начальном этапе.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Потенциал для развития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8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Демонстрация способностей к дальнейшему профессиональному росту.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8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Вклад в развитие культуры бережливого производства в организации.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Образовательные достижения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9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Участие в образовательных программах, тренингах или научных исследованиях.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168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7.1.13.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Визионерские инициативы в области качества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Долгосрочное видение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27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Предложение стратегий, ориентированных на устойчивое развитие и долгосрочные, поэтапные результаты.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28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подходов или технологий, способствующих улучшению качества на протяжении 10-15 лет.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Практическое применение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29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Реализация инициатив, которые уже привели к значительным улучшениям в управлении качеством в рамках данной инициативы.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Социальное и экологическое воздействие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0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Вклад в устойчивое развитие и улучшение качества жизни.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Масштабируемость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(0-10 баллов):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3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Возможность применения инициатив в других организациях или отраслях.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168"/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u w:val="none"/>
        </w:rPr>
        <w:t xml:space="preserve">7.1.14. Номинация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Лучшие практики метрологического обеспечения качества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Критерии оценки: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6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Инновационность (0–10 баллов)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50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Внедрение новых методик измерений, стандартов или технологий.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50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Использование передовых технологий.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6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Практическая значимость (0–10 баллов)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52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Доказанное улучшение точности измерений, снижение погрешностей или сокращение времени контроля.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52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Влияние на качество продукции/услуг (например, снижение брака, повышение соответствия ГОСТ/ТР ТС).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6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Масштабируемость (0–10 баллов)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54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Возможность применения разработок в других отраслях или на федеральном уровне.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254"/>
        </w:numPr>
        <w:ind w:right="0"/>
        <w:jc w:val="both"/>
        <w:spacing w:before="0" w:after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Участие в создании/актуализации нормативных документов (ГОСТ, ТУ, методические рекомендации).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6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Соответствие законодательству и стандартам (0–10 баллов)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7.2. </w:t>
      </w: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Методика оценки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: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r>
    </w:p>
    <w:p>
      <w:pPr>
        <w:pStyle w:val="1344"/>
        <w:numPr>
          <w:ilvl w:val="0"/>
          <w:numId w:val="19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Каждая заявка оценивается по шкале от 0 до 10 баллов по каждому критерию.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pStyle w:val="1344"/>
        <w:numPr>
          <w:ilvl w:val="0"/>
          <w:numId w:val="19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Итоговая оценка формируется как среднее арифметическое всех оценок.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8. ПОРЯДОК НАГРАЖДЕНИЯ ПОБЕДИТЕЛЕЙ И УЧАСТНИКОВ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8.1. Победители награждаются брендированной статуэткой, дипломом и включаются в Реестр победителей, публикуемый на официальном сайте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9. ПОРЯДОК ОРГАНИЗАЦИОННОЙ ПОДДЕРЖКИ УЧАСТНИКОВ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9.1. Организатор обеспечивает информационное, консультационное и техническое сопровождение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9.2. Участие в Конкурсе бесплатное.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10. ОБРАБОТКА ПЕРСОНАЛЬНЫХ ДАННЫХ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10.1. Участники Конкурса, подавая заявку на участие, дают согласие на обработку своих персональных данных, предоставленных в рамках Конкурса, в соответствии с Федеральным законом от 27.07.2006 № 152-ФЗ «О персональных данных».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10.2. Организатор обязуется использовать персональные данные участников исключительно в целях организации и проведения Конкурса, включая: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регистрацию участников;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оценку конкурсных работ;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информирование участников о результатах Конкурса;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награждение победителей;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1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публикацию информации о победителях и участниках на официальном сайте Конкурса и в других информационных материалах.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10.3. Участники имеют право отозвать свое согласие на обработку персональных данных, направив соответствующее заявление на адрес электронной почты Организатора. В случае отзыва согласия участник исключается из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10.4. Организатор гарантирует конфиденциальность персональных данных участников и не передает их третьим лицам без согласия участника, за исключением случаев, предусмотренных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11. ПРАВА НА РЕЗУЛЬТАТЫ ИНТЕЛЛЕКТУАЛЬНОЙ ДЕЯТЕЛЬНОСТИ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11.1. Участники Конкурса гарантируют, что представленные ими конкурсные работы являются результатом их собственной интеллектуальной деятельности и не нарушают права третьих лиц.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11.2. Участники Конкурса предоставляют Организатору неисключительное право на использование конкурсных работ, включая: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2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публикацию работ на официальном сайте Конкурса и в других информационных материалах;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2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использование работ в целях популяризации Конкурса и продвижения лучших практик в области качества;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2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воспроизведение, распространение и доведение до всеобщего сведения конкурсных работ в рамках мероприятий, связанных с Конкурсом.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11.3. Авторские права на конкурсные работы сохраняются за участниками Конкурса. Организатор не вправе использовать конкурсные работы в коммерческих целях без письменного согласия участника.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11.4. В случае, если конкурсная работа создана в рамках служебного задания или с использованием ресурсов работодателя, участник гарантирует, что все необходимые согласия на участие в Конкурсе и использование работы получены от правообладателей.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12. ИСКЛЮЧЕНИЕ УЧАСТНИКОВ ИЗ КОНКУРСА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12.1. Организатор оставляет за собой право исключить участника из Конкурса в следующих случаях: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3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предоставление заведомо ложной информации при подаче заявки;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3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нарушение прав третьих лиц на результаты интеллектуальной деятельности, включая плагиат и использование чужих материалов без разрешения;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3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публикация материалов, содержащих призывы к насилию, экстремизму, разжиганию межнациональной или религиозной розни, а также материалов, нарушающих нормы морали и нравственности;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3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нарушение правил Конкурса, установленных настоящим Положением;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1344"/>
        <w:numPr>
          <w:ilvl w:val="0"/>
          <w:numId w:val="183"/>
        </w:numPr>
        <w:contextualSpacing/>
        <w:ind w:right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совершение действий, которые могут нанести ущерб репутации Конкурса или Организатора.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12.2. Решение об исключении участника принимается Организатором на основании письменного заключения Экспертного совета или Наблюдательного совета Конкурса. Участник уведомляется о решении об исключении по электронной почте, указанной в заявке.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12.3. В случае исключения участника из Конкурса, все предоставленные им материалы удаляются с официального сайта Конкурса и не подлежат дальнейшему использованию Организатором.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13. ЗАКЛЮЧИТЕЛЬНЫЕ ПОЛОЖЕНИЯ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highlight w:val="none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13.1. Настоящее Положение вступает в силу с момента его опубликования на официальном сайте Конкурса.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13.2. Все спорные вопросы, возникающие в ходе проведения Конкурса, решаются в соответствии с законодательством Российской Федерации.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13.3. Организатор оставляет за собой право вносить изменения в настоящее Положение с обязательным уведомлением участников через официальный сайт Конкурса не менее чем за 30 дней до вступления изменений в силу.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contextualSpacing/>
        <w:ind w:left="0" w:right="0" w:firstLine="0"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</w:p>
    <w:p>
      <w:pPr>
        <w:contextualSpacing/>
        <w:jc w:val="both"/>
        <w:spacing w:before="0" w:beforeAutospacing="0" w:after="0" w:afterAutospacing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2"/>
      <w:jc w:val="left"/>
      <w:rPr>
        <w:rFonts w:ascii="Times New Roman" w:hAnsi="Times New Roman" w:cs="Times New Roman"/>
      </w:rPr>
    </w:pPr>
    <w:fldSimple w:instr="PAGE \* MERGEFORMAT">
      <w:r>
        <w:rPr>
          <w:rFonts w:ascii="Times New Roman" w:hAnsi="Times New Roman" w:eastAsia="Times New Roman" w:cs="Times New Roman"/>
        </w:rPr>
        <w:t xml:space="preserve">1</w:t>
      </w:r>
    </w:fldSimple>
    <w:r>
      <w:rPr>
        <w:rFonts w:ascii="Times New Roman" w:hAnsi="Times New Roman" w:eastAsia="Times New Roman" w:cs="Times New Roman"/>
      </w:rPr>
    </w:r>
    <w:r>
      <w:rPr>
        <w:rFonts w:ascii="Times New Roman" w:hAnsi="Times New Roman" w:eastAsia="Times New Roman" w:cs="Times New Roman"/>
      </w:rPr>
    </w:r>
  </w:p>
  <w:p>
    <w:pPr>
      <w:pStyle w:val="1192"/>
    </w:pP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1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161616"/>
        <w:sz w:val="27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161616"/>
        <w:sz w:val="27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161616"/>
        <w:sz w:val="27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161616"/>
        <w:sz w:val="27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161616"/>
        <w:sz w:val="27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161616"/>
        <w:sz w:val="27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161616"/>
        <w:sz w:val="27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161616"/>
        <w:sz w:val="27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161616"/>
        <w:sz w:val="27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161616"/>
        <w:sz w:val="27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5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82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</w:pPr>
      <w:rPr>
        <w:rFonts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94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00000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1417" w:hanging="360"/>
      </w:pPr>
      <w:rPr>
        <w:rFonts w:ascii="Times New Roman" w:hAnsi="Times New Roman" w:eastAsia="Times New Roman" w:cs="Times New Roman"/>
        <w:color w:val="000000"/>
        <w:sz w:val="28"/>
      </w:rPr>
    </w:lvl>
    <w:lvl w:ilvl="1">
      <w:start w:val="1"/>
      <w:numFmt w:val="decimal"/>
      <w:isLgl w:val="false"/>
      <w:suff w:val="tab"/>
      <w:lvlText w:val="%2."/>
      <w:lvlJc w:val="right"/>
      <w:pPr>
        <w:ind w:left="2137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3577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4297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737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6457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7177" w:hanging="180"/>
      </w:pPr>
    </w:lvl>
  </w:abstractNum>
  <w:abstractNum w:abstractNumId="146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8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7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hint="default" w:ascii="Wingdings" w:hAnsi="Wingdings" w:eastAsia="Wingdings" w:cs="Wingdings"/>
      </w:rPr>
    </w:lvl>
  </w:abstractNum>
  <w:abstractNum w:abstractNumId="15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5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6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6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6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6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16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6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6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6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7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7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7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7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17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7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8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8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8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9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9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0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1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2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23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3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23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4"/>
      </w:rPr>
    </w:lvl>
  </w:abstractNum>
  <w:abstractNum w:abstractNumId="23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23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237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23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404040"/>
        <w:sz w:val="24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404040"/>
        <w:sz w:val="24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404040"/>
        <w:sz w:val="24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404040"/>
        <w:sz w:val="24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404040"/>
        <w:sz w:val="24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404040"/>
        <w:sz w:val="24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404040"/>
        <w:sz w:val="24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404040"/>
        <w:sz w:val="24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404040"/>
        <w:sz w:val="24"/>
      </w:rPr>
    </w:lvl>
  </w:abstractNum>
  <w:abstractNum w:abstractNumId="239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1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3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5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7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  <w:rPr>
        <w:rFonts w:ascii="Arial" w:hAnsi="Arial" w:eastAsia="Arial" w:cs="Arial"/>
        <w:color w:val="404040"/>
        <w:sz w:val="24"/>
      </w:r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248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24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25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5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  <w:num w:numId="58">
    <w:abstractNumId w:val="57"/>
  </w:num>
  <w:num w:numId="59">
    <w:abstractNumId w:val="58"/>
  </w:num>
  <w:num w:numId="60">
    <w:abstractNumId w:val="59"/>
  </w:num>
  <w:num w:numId="61">
    <w:abstractNumId w:val="60"/>
  </w:num>
  <w:num w:numId="62">
    <w:abstractNumId w:val="61"/>
  </w:num>
  <w:num w:numId="63">
    <w:abstractNumId w:val="62"/>
  </w:num>
  <w:num w:numId="64">
    <w:abstractNumId w:val="63"/>
  </w:num>
  <w:num w:numId="65">
    <w:abstractNumId w:val="64"/>
  </w:num>
  <w:num w:numId="66">
    <w:abstractNumId w:val="65"/>
  </w:num>
  <w:num w:numId="67">
    <w:abstractNumId w:val="66"/>
  </w:num>
  <w:num w:numId="68">
    <w:abstractNumId w:val="67"/>
  </w:num>
  <w:num w:numId="69">
    <w:abstractNumId w:val="68"/>
  </w:num>
  <w:num w:numId="70">
    <w:abstractNumId w:val="69"/>
  </w:num>
  <w:num w:numId="71">
    <w:abstractNumId w:val="70"/>
  </w:num>
  <w:num w:numId="72">
    <w:abstractNumId w:val="71"/>
  </w:num>
  <w:num w:numId="73">
    <w:abstractNumId w:val="72"/>
  </w:num>
  <w:num w:numId="74">
    <w:abstractNumId w:val="73"/>
  </w:num>
  <w:num w:numId="75">
    <w:abstractNumId w:val="74"/>
  </w:num>
  <w:num w:numId="76">
    <w:abstractNumId w:val="75"/>
  </w:num>
  <w:num w:numId="77">
    <w:abstractNumId w:val="76"/>
  </w:num>
  <w:num w:numId="78">
    <w:abstractNumId w:val="77"/>
  </w:num>
  <w:num w:numId="79">
    <w:abstractNumId w:val="78"/>
  </w:num>
  <w:num w:numId="80">
    <w:abstractNumId w:val="79"/>
  </w:num>
  <w:num w:numId="81">
    <w:abstractNumId w:val="80"/>
  </w:num>
  <w:num w:numId="82">
    <w:abstractNumId w:val="81"/>
  </w:num>
  <w:num w:numId="83">
    <w:abstractNumId w:val="82"/>
  </w:num>
  <w:num w:numId="84">
    <w:abstractNumId w:val="83"/>
  </w:num>
  <w:num w:numId="85">
    <w:abstractNumId w:val="84"/>
  </w:num>
  <w:num w:numId="86">
    <w:abstractNumId w:val="85"/>
  </w:num>
  <w:num w:numId="87">
    <w:abstractNumId w:val="86"/>
  </w:num>
  <w:num w:numId="88">
    <w:abstractNumId w:val="87"/>
  </w:num>
  <w:num w:numId="89">
    <w:abstractNumId w:val="88"/>
  </w:num>
  <w:num w:numId="90">
    <w:abstractNumId w:val="89"/>
  </w:num>
  <w:num w:numId="91">
    <w:abstractNumId w:val="90"/>
  </w:num>
  <w:num w:numId="92">
    <w:abstractNumId w:val="91"/>
  </w:num>
  <w:num w:numId="93">
    <w:abstractNumId w:val="92"/>
  </w:num>
  <w:num w:numId="94">
    <w:abstractNumId w:val="93"/>
  </w:num>
  <w:num w:numId="95">
    <w:abstractNumId w:val="94"/>
  </w:num>
  <w:num w:numId="96">
    <w:abstractNumId w:val="95"/>
  </w:num>
  <w:num w:numId="97">
    <w:abstractNumId w:val="96"/>
  </w:num>
  <w:num w:numId="98">
    <w:abstractNumId w:val="97"/>
  </w:num>
  <w:num w:numId="99">
    <w:abstractNumId w:val="98"/>
  </w:num>
  <w:num w:numId="100">
    <w:abstractNumId w:val="99"/>
  </w:num>
  <w:num w:numId="101">
    <w:abstractNumId w:val="100"/>
  </w:num>
  <w:num w:numId="102">
    <w:abstractNumId w:val="101"/>
  </w:num>
  <w:num w:numId="103">
    <w:abstractNumId w:val="102"/>
  </w:num>
  <w:num w:numId="104">
    <w:abstractNumId w:val="103"/>
  </w:num>
  <w:num w:numId="105">
    <w:abstractNumId w:val="104"/>
  </w:num>
  <w:num w:numId="106">
    <w:abstractNumId w:val="105"/>
  </w:num>
  <w:num w:numId="107">
    <w:abstractNumId w:val="106"/>
  </w:num>
  <w:num w:numId="108">
    <w:abstractNumId w:val="107"/>
  </w:num>
  <w:num w:numId="109">
    <w:abstractNumId w:val="108"/>
  </w:num>
  <w:num w:numId="110">
    <w:abstractNumId w:val="109"/>
  </w:num>
  <w:num w:numId="111">
    <w:abstractNumId w:val="110"/>
  </w:num>
  <w:num w:numId="112">
    <w:abstractNumId w:val="111"/>
  </w:num>
  <w:num w:numId="113">
    <w:abstractNumId w:val="112"/>
  </w:num>
  <w:num w:numId="114">
    <w:abstractNumId w:val="113"/>
  </w:num>
  <w:num w:numId="115">
    <w:abstractNumId w:val="114"/>
  </w:num>
  <w:num w:numId="116">
    <w:abstractNumId w:val="115"/>
  </w:num>
  <w:num w:numId="117">
    <w:abstractNumId w:val="116"/>
  </w:num>
  <w:num w:numId="118">
    <w:abstractNumId w:val="117"/>
  </w:num>
  <w:num w:numId="119">
    <w:abstractNumId w:val="118"/>
  </w:num>
  <w:num w:numId="120">
    <w:abstractNumId w:val="119"/>
  </w:num>
  <w:num w:numId="121">
    <w:abstractNumId w:val="120"/>
  </w:num>
  <w:num w:numId="122">
    <w:abstractNumId w:val="121"/>
  </w:num>
  <w:num w:numId="123">
    <w:abstractNumId w:val="122"/>
  </w:num>
  <w:num w:numId="124">
    <w:abstractNumId w:val="123"/>
  </w:num>
  <w:num w:numId="125">
    <w:abstractNumId w:val="124"/>
  </w:num>
  <w:num w:numId="126">
    <w:abstractNumId w:val="125"/>
  </w:num>
  <w:num w:numId="127">
    <w:abstractNumId w:val="126"/>
  </w:num>
  <w:num w:numId="128">
    <w:abstractNumId w:val="127"/>
  </w:num>
  <w:num w:numId="129">
    <w:abstractNumId w:val="128"/>
  </w:num>
  <w:num w:numId="130">
    <w:abstractNumId w:val="129"/>
  </w:num>
  <w:num w:numId="131">
    <w:abstractNumId w:val="130"/>
  </w:num>
  <w:num w:numId="132">
    <w:abstractNumId w:val="131"/>
  </w:num>
  <w:num w:numId="133">
    <w:abstractNumId w:val="132"/>
  </w:num>
  <w:num w:numId="134">
    <w:abstractNumId w:val="133"/>
  </w:num>
  <w:num w:numId="135">
    <w:abstractNumId w:val="134"/>
  </w:num>
  <w:num w:numId="136">
    <w:abstractNumId w:val="135"/>
  </w:num>
  <w:num w:numId="137">
    <w:abstractNumId w:val="136"/>
  </w:num>
  <w:num w:numId="138">
    <w:abstractNumId w:val="137"/>
  </w:num>
  <w:num w:numId="139">
    <w:abstractNumId w:val="138"/>
  </w:num>
  <w:num w:numId="140">
    <w:abstractNumId w:val="139"/>
  </w:num>
  <w:num w:numId="141">
    <w:abstractNumId w:val="140"/>
  </w:num>
  <w:num w:numId="142">
    <w:abstractNumId w:val="141"/>
  </w:num>
  <w:num w:numId="143">
    <w:abstractNumId w:val="142"/>
  </w:num>
  <w:num w:numId="144">
    <w:abstractNumId w:val="143"/>
  </w:num>
  <w:num w:numId="145">
    <w:abstractNumId w:val="144"/>
  </w:num>
  <w:num w:numId="146">
    <w:abstractNumId w:val="145"/>
  </w:num>
  <w:num w:numId="147">
    <w:abstractNumId w:val="146"/>
  </w:num>
  <w:num w:numId="148">
    <w:abstractNumId w:val="147"/>
  </w:num>
  <w:num w:numId="149">
    <w:abstractNumId w:val="148"/>
  </w:num>
  <w:num w:numId="150">
    <w:abstractNumId w:val="149"/>
  </w:num>
  <w:num w:numId="151">
    <w:abstractNumId w:val="150"/>
  </w:num>
  <w:num w:numId="152">
    <w:abstractNumId w:val="151"/>
  </w:num>
  <w:num w:numId="153">
    <w:abstractNumId w:val="152"/>
  </w:num>
  <w:num w:numId="154">
    <w:abstractNumId w:val="153"/>
  </w:num>
  <w:num w:numId="155">
    <w:abstractNumId w:val="154"/>
  </w:num>
  <w:num w:numId="156">
    <w:abstractNumId w:val="155"/>
  </w:num>
  <w:num w:numId="157">
    <w:abstractNumId w:val="156"/>
  </w:num>
  <w:num w:numId="158">
    <w:abstractNumId w:val="157"/>
  </w:num>
  <w:num w:numId="159">
    <w:abstractNumId w:val="158"/>
  </w:num>
  <w:num w:numId="160">
    <w:abstractNumId w:val="159"/>
  </w:num>
  <w:num w:numId="161">
    <w:abstractNumId w:val="160"/>
  </w:num>
  <w:num w:numId="162">
    <w:abstractNumId w:val="161"/>
  </w:num>
  <w:num w:numId="163">
    <w:abstractNumId w:val="162"/>
  </w:num>
  <w:num w:numId="164">
    <w:abstractNumId w:val="163"/>
  </w:num>
  <w:num w:numId="165">
    <w:abstractNumId w:val="164"/>
  </w:num>
  <w:num w:numId="166">
    <w:abstractNumId w:val="165"/>
  </w:num>
  <w:num w:numId="167">
    <w:abstractNumId w:val="166"/>
  </w:num>
  <w:num w:numId="168">
    <w:abstractNumId w:val="167"/>
  </w:num>
  <w:num w:numId="169">
    <w:abstractNumId w:val="168"/>
  </w:num>
  <w:num w:numId="170">
    <w:abstractNumId w:val="169"/>
  </w:num>
  <w:num w:numId="171">
    <w:abstractNumId w:val="170"/>
  </w:num>
  <w:num w:numId="172">
    <w:abstractNumId w:val="171"/>
  </w:num>
  <w:num w:numId="173">
    <w:abstractNumId w:val="172"/>
  </w:num>
  <w:num w:numId="174">
    <w:abstractNumId w:val="173"/>
  </w:num>
  <w:num w:numId="175">
    <w:abstractNumId w:val="174"/>
  </w:num>
  <w:num w:numId="176">
    <w:abstractNumId w:val="175"/>
  </w:num>
  <w:num w:numId="177">
    <w:abstractNumId w:val="176"/>
  </w:num>
  <w:num w:numId="178">
    <w:abstractNumId w:val="177"/>
  </w:num>
  <w:num w:numId="179">
    <w:abstractNumId w:val="178"/>
  </w:num>
  <w:num w:numId="180">
    <w:abstractNumId w:val="179"/>
  </w:num>
  <w:num w:numId="181">
    <w:abstractNumId w:val="180"/>
  </w:num>
  <w:num w:numId="182">
    <w:abstractNumId w:val="181"/>
  </w:num>
  <w:num w:numId="183">
    <w:abstractNumId w:val="182"/>
  </w:num>
  <w:num w:numId="184">
    <w:abstractNumId w:val="183"/>
  </w:num>
  <w:num w:numId="185">
    <w:abstractNumId w:val="184"/>
  </w:num>
  <w:num w:numId="186">
    <w:abstractNumId w:val="185"/>
  </w:num>
  <w:num w:numId="187">
    <w:abstractNumId w:val="186"/>
  </w:num>
  <w:num w:numId="188">
    <w:abstractNumId w:val="187"/>
  </w:num>
  <w:num w:numId="189">
    <w:abstractNumId w:val="188"/>
  </w:num>
  <w:num w:numId="190">
    <w:abstractNumId w:val="189"/>
  </w:num>
  <w:num w:numId="191">
    <w:abstractNumId w:val="190"/>
  </w:num>
  <w:num w:numId="192">
    <w:abstractNumId w:val="191"/>
  </w:num>
  <w:num w:numId="193">
    <w:abstractNumId w:val="192"/>
  </w:num>
  <w:num w:numId="194">
    <w:abstractNumId w:val="193"/>
  </w:num>
  <w:num w:numId="195">
    <w:abstractNumId w:val="194"/>
  </w:num>
  <w:num w:numId="196">
    <w:abstractNumId w:val="195"/>
  </w:num>
  <w:num w:numId="197">
    <w:abstractNumId w:val="196"/>
  </w:num>
  <w:num w:numId="198">
    <w:abstractNumId w:val="197"/>
  </w:num>
  <w:num w:numId="199">
    <w:abstractNumId w:val="198"/>
  </w:num>
  <w:num w:numId="200">
    <w:abstractNumId w:val="199"/>
  </w:num>
  <w:num w:numId="201">
    <w:abstractNumId w:val="200"/>
  </w:num>
  <w:num w:numId="202">
    <w:abstractNumId w:val="201"/>
  </w:num>
  <w:num w:numId="203">
    <w:abstractNumId w:val="202"/>
  </w:num>
  <w:num w:numId="204">
    <w:abstractNumId w:val="203"/>
  </w:num>
  <w:num w:numId="205">
    <w:abstractNumId w:val="204"/>
  </w:num>
  <w:num w:numId="206">
    <w:abstractNumId w:val="205"/>
  </w:num>
  <w:num w:numId="207">
    <w:abstractNumId w:val="206"/>
  </w:num>
  <w:num w:numId="208">
    <w:abstractNumId w:val="207"/>
  </w:num>
  <w:num w:numId="209">
    <w:abstractNumId w:val="208"/>
  </w:num>
  <w:num w:numId="210">
    <w:abstractNumId w:val="209"/>
  </w:num>
  <w:num w:numId="211">
    <w:abstractNumId w:val="210"/>
  </w:num>
  <w:num w:numId="212">
    <w:abstractNumId w:val="211"/>
  </w:num>
  <w:num w:numId="213">
    <w:abstractNumId w:val="212"/>
  </w:num>
  <w:num w:numId="214">
    <w:abstractNumId w:val="213"/>
  </w:num>
  <w:num w:numId="215">
    <w:abstractNumId w:val="214"/>
  </w:num>
  <w:num w:numId="216">
    <w:abstractNumId w:val="215"/>
  </w:num>
  <w:num w:numId="217">
    <w:abstractNumId w:val="216"/>
  </w:num>
  <w:num w:numId="218">
    <w:abstractNumId w:val="217"/>
  </w:num>
  <w:num w:numId="219">
    <w:abstractNumId w:val="218"/>
  </w:num>
  <w:num w:numId="220">
    <w:abstractNumId w:val="219"/>
  </w:num>
  <w:num w:numId="221">
    <w:abstractNumId w:val="220"/>
  </w:num>
  <w:num w:numId="222">
    <w:abstractNumId w:val="221"/>
  </w:num>
  <w:num w:numId="223">
    <w:abstractNumId w:val="222"/>
  </w:num>
  <w:num w:numId="224">
    <w:abstractNumId w:val="223"/>
  </w:num>
  <w:num w:numId="225">
    <w:abstractNumId w:val="224"/>
  </w:num>
  <w:num w:numId="226">
    <w:abstractNumId w:val="225"/>
  </w:num>
  <w:num w:numId="227">
    <w:abstractNumId w:val="226"/>
  </w:num>
  <w:num w:numId="228">
    <w:abstractNumId w:val="227"/>
  </w:num>
  <w:num w:numId="229">
    <w:abstractNumId w:val="228"/>
  </w:num>
  <w:num w:numId="230">
    <w:abstractNumId w:val="229"/>
  </w:num>
  <w:num w:numId="231">
    <w:abstractNumId w:val="230"/>
  </w:num>
  <w:num w:numId="232">
    <w:abstractNumId w:val="231"/>
  </w:num>
  <w:num w:numId="233">
    <w:abstractNumId w:val="232"/>
  </w:num>
  <w:num w:numId="234">
    <w:abstractNumId w:val="233"/>
  </w:num>
  <w:num w:numId="235">
    <w:abstractNumId w:val="234"/>
  </w:num>
  <w:num w:numId="236">
    <w:abstractNumId w:val="235"/>
  </w:num>
  <w:num w:numId="237">
    <w:abstractNumId w:val="236"/>
  </w:num>
  <w:num w:numId="238">
    <w:abstractNumId w:val="237"/>
  </w:num>
  <w:num w:numId="239">
    <w:abstractNumId w:val="238"/>
  </w:num>
  <w:num w:numId="240">
    <w:abstractNumId w:val="239"/>
  </w:num>
  <w:num w:numId="241">
    <w:abstractNumId w:val="240"/>
  </w:num>
  <w:num w:numId="242">
    <w:abstractNumId w:val="241"/>
  </w:num>
  <w:num w:numId="243">
    <w:abstractNumId w:val="242"/>
  </w:num>
  <w:num w:numId="244">
    <w:abstractNumId w:val="243"/>
  </w:num>
  <w:num w:numId="245">
    <w:abstractNumId w:val="244"/>
  </w:num>
  <w:num w:numId="246">
    <w:abstractNumId w:val="245"/>
  </w:num>
  <w:num w:numId="247">
    <w:abstractNumId w:val="246"/>
  </w:num>
  <w:num w:numId="248">
    <w:abstractNumId w:val="247"/>
  </w:num>
  <w:num w:numId="249">
    <w:abstractNumId w:val="248"/>
  </w:num>
  <w:num w:numId="250">
    <w:abstractNumId w:val="249"/>
  </w:num>
  <w:num w:numId="251">
    <w:abstractNumId w:val="250"/>
  </w:num>
  <w:num w:numId="252">
    <w:abstractNumId w:val="251"/>
  </w:num>
  <w:num w:numId="253">
    <w:abstractNumId w:val="252"/>
  </w:num>
  <w:num w:numId="254">
    <w:abstractNumId w:val="253"/>
  </w:num>
  <w:num w:numId="255">
    <w:abstractNumId w:val="25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64">
    <w:name w:val="Heading 1"/>
    <w:basedOn w:val="1340"/>
    <w:next w:val="1340"/>
    <w:link w:val="116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165">
    <w:name w:val="Heading 1 Char"/>
    <w:link w:val="1164"/>
    <w:uiPriority w:val="9"/>
    <w:rPr>
      <w:rFonts w:ascii="Arial" w:hAnsi="Arial" w:eastAsia="Arial" w:cs="Arial"/>
      <w:sz w:val="40"/>
      <w:szCs w:val="40"/>
    </w:rPr>
  </w:style>
  <w:style w:type="paragraph" w:styleId="1166">
    <w:name w:val="Heading 2"/>
    <w:basedOn w:val="1340"/>
    <w:next w:val="1340"/>
    <w:link w:val="11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167">
    <w:name w:val="Heading 2 Char"/>
    <w:link w:val="1166"/>
    <w:uiPriority w:val="9"/>
    <w:rPr>
      <w:rFonts w:ascii="Arial" w:hAnsi="Arial" w:eastAsia="Arial" w:cs="Arial"/>
      <w:sz w:val="34"/>
    </w:rPr>
  </w:style>
  <w:style w:type="paragraph" w:styleId="1168">
    <w:name w:val="Heading 3"/>
    <w:basedOn w:val="1340"/>
    <w:next w:val="1340"/>
    <w:link w:val="116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169">
    <w:name w:val="Heading 3 Char"/>
    <w:link w:val="1168"/>
    <w:uiPriority w:val="9"/>
    <w:rPr>
      <w:rFonts w:ascii="Arial" w:hAnsi="Arial" w:eastAsia="Arial" w:cs="Arial"/>
      <w:sz w:val="30"/>
      <w:szCs w:val="30"/>
    </w:rPr>
  </w:style>
  <w:style w:type="paragraph" w:styleId="1170">
    <w:name w:val="Heading 4"/>
    <w:basedOn w:val="1340"/>
    <w:next w:val="1340"/>
    <w:link w:val="117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171">
    <w:name w:val="Heading 4 Char"/>
    <w:link w:val="1170"/>
    <w:uiPriority w:val="9"/>
    <w:rPr>
      <w:rFonts w:ascii="Arial" w:hAnsi="Arial" w:eastAsia="Arial" w:cs="Arial"/>
      <w:b/>
      <w:bCs/>
      <w:sz w:val="26"/>
      <w:szCs w:val="26"/>
    </w:rPr>
  </w:style>
  <w:style w:type="paragraph" w:styleId="1172">
    <w:name w:val="Heading 5"/>
    <w:basedOn w:val="1340"/>
    <w:next w:val="1340"/>
    <w:link w:val="117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173">
    <w:name w:val="Heading 5 Char"/>
    <w:link w:val="1172"/>
    <w:uiPriority w:val="9"/>
    <w:rPr>
      <w:rFonts w:ascii="Arial" w:hAnsi="Arial" w:eastAsia="Arial" w:cs="Arial"/>
      <w:b/>
      <w:bCs/>
      <w:sz w:val="24"/>
      <w:szCs w:val="24"/>
    </w:rPr>
  </w:style>
  <w:style w:type="paragraph" w:styleId="1174">
    <w:name w:val="Heading 6"/>
    <w:basedOn w:val="1340"/>
    <w:next w:val="1340"/>
    <w:link w:val="117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175">
    <w:name w:val="Heading 6 Char"/>
    <w:link w:val="1174"/>
    <w:uiPriority w:val="9"/>
    <w:rPr>
      <w:rFonts w:ascii="Arial" w:hAnsi="Arial" w:eastAsia="Arial" w:cs="Arial"/>
      <w:b/>
      <w:bCs/>
      <w:sz w:val="22"/>
      <w:szCs w:val="22"/>
    </w:rPr>
  </w:style>
  <w:style w:type="paragraph" w:styleId="1176">
    <w:name w:val="Heading 7"/>
    <w:basedOn w:val="1340"/>
    <w:next w:val="1340"/>
    <w:link w:val="117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177">
    <w:name w:val="Heading 7 Char"/>
    <w:link w:val="117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178">
    <w:name w:val="Heading 8"/>
    <w:basedOn w:val="1340"/>
    <w:next w:val="1340"/>
    <w:link w:val="117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179">
    <w:name w:val="Heading 8 Char"/>
    <w:link w:val="1178"/>
    <w:uiPriority w:val="9"/>
    <w:rPr>
      <w:rFonts w:ascii="Arial" w:hAnsi="Arial" w:eastAsia="Arial" w:cs="Arial"/>
      <w:i/>
      <w:iCs/>
      <w:sz w:val="22"/>
      <w:szCs w:val="22"/>
    </w:rPr>
  </w:style>
  <w:style w:type="paragraph" w:styleId="1180">
    <w:name w:val="Heading 9"/>
    <w:basedOn w:val="1340"/>
    <w:next w:val="1340"/>
    <w:link w:val="118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181">
    <w:name w:val="Heading 9 Char"/>
    <w:link w:val="1180"/>
    <w:uiPriority w:val="9"/>
    <w:rPr>
      <w:rFonts w:ascii="Arial" w:hAnsi="Arial" w:eastAsia="Arial" w:cs="Arial"/>
      <w:i/>
      <w:iCs/>
      <w:sz w:val="21"/>
      <w:szCs w:val="21"/>
    </w:rPr>
  </w:style>
  <w:style w:type="paragraph" w:styleId="1182">
    <w:name w:val="Title"/>
    <w:basedOn w:val="1340"/>
    <w:next w:val="1340"/>
    <w:link w:val="118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183">
    <w:name w:val="Title Char"/>
    <w:link w:val="1182"/>
    <w:uiPriority w:val="10"/>
    <w:rPr>
      <w:sz w:val="48"/>
      <w:szCs w:val="48"/>
    </w:rPr>
  </w:style>
  <w:style w:type="paragraph" w:styleId="1184">
    <w:name w:val="Subtitle"/>
    <w:basedOn w:val="1340"/>
    <w:next w:val="1340"/>
    <w:link w:val="1185"/>
    <w:uiPriority w:val="11"/>
    <w:qFormat/>
    <w:pPr>
      <w:spacing w:before="200" w:after="200"/>
    </w:pPr>
    <w:rPr>
      <w:sz w:val="24"/>
      <w:szCs w:val="24"/>
    </w:rPr>
  </w:style>
  <w:style w:type="character" w:styleId="1185">
    <w:name w:val="Subtitle Char"/>
    <w:link w:val="1184"/>
    <w:uiPriority w:val="11"/>
    <w:rPr>
      <w:sz w:val="24"/>
      <w:szCs w:val="24"/>
    </w:rPr>
  </w:style>
  <w:style w:type="paragraph" w:styleId="1186">
    <w:name w:val="Quote"/>
    <w:basedOn w:val="1340"/>
    <w:next w:val="1340"/>
    <w:link w:val="1187"/>
    <w:uiPriority w:val="29"/>
    <w:qFormat/>
    <w:pPr>
      <w:ind w:left="720" w:right="720"/>
    </w:pPr>
    <w:rPr>
      <w:i/>
    </w:rPr>
  </w:style>
  <w:style w:type="character" w:styleId="1187">
    <w:name w:val="Quote Char"/>
    <w:link w:val="1186"/>
    <w:uiPriority w:val="29"/>
    <w:rPr>
      <w:i/>
    </w:rPr>
  </w:style>
  <w:style w:type="paragraph" w:styleId="1188">
    <w:name w:val="Intense Quote"/>
    <w:basedOn w:val="1340"/>
    <w:next w:val="1340"/>
    <w:link w:val="118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89">
    <w:name w:val="Intense Quote Char"/>
    <w:link w:val="1188"/>
    <w:uiPriority w:val="30"/>
    <w:rPr>
      <w:i/>
    </w:rPr>
  </w:style>
  <w:style w:type="paragraph" w:styleId="1190">
    <w:name w:val="Header"/>
    <w:basedOn w:val="1340"/>
    <w:link w:val="119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91">
    <w:name w:val="Header Char"/>
    <w:link w:val="1190"/>
    <w:uiPriority w:val="99"/>
  </w:style>
  <w:style w:type="paragraph" w:styleId="1192">
    <w:name w:val="Footer"/>
    <w:basedOn w:val="1340"/>
    <w:link w:val="119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93">
    <w:name w:val="Footer Char"/>
    <w:link w:val="1192"/>
    <w:uiPriority w:val="99"/>
  </w:style>
  <w:style w:type="paragraph" w:styleId="1194">
    <w:name w:val="Caption"/>
    <w:basedOn w:val="1340"/>
    <w:next w:val="134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195">
    <w:name w:val="Caption Char"/>
    <w:basedOn w:val="1194"/>
    <w:link w:val="1192"/>
    <w:uiPriority w:val="99"/>
  </w:style>
  <w:style w:type="table" w:styleId="1196">
    <w:name w:val="Table Grid"/>
    <w:basedOn w:val="13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97">
    <w:name w:val="Table Grid Light"/>
    <w:basedOn w:val="13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98">
    <w:name w:val="Plain Table 1"/>
    <w:basedOn w:val="13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99">
    <w:name w:val="Plain Table 2"/>
    <w:basedOn w:val="13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200">
    <w:name w:val="Plain Table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201">
    <w:name w:val="Plain Table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2">
    <w:name w:val="Plain Table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203">
    <w:name w:val="Grid Table 1 Light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4">
    <w:name w:val="Grid Table 1 Light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5">
    <w:name w:val="Grid Table 1 Light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6">
    <w:name w:val="Grid Table 1 Light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7">
    <w:name w:val="Grid Table 1 Light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8">
    <w:name w:val="Grid Table 1 Light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9">
    <w:name w:val="Grid Table 1 Light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0">
    <w:name w:val="Grid Table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1">
    <w:name w:val="Grid Table 2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2">
    <w:name w:val="Grid Table 2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3">
    <w:name w:val="Grid Table 2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4">
    <w:name w:val="Grid Table 2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5">
    <w:name w:val="Grid Table 2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6">
    <w:name w:val="Grid Table 2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7">
    <w:name w:val="Grid Table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8">
    <w:name w:val="Grid Table 3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9">
    <w:name w:val="Grid Table 3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0">
    <w:name w:val="Grid Table 3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1">
    <w:name w:val="Grid Table 3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2">
    <w:name w:val="Grid Table 3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3">
    <w:name w:val="Grid Table 3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24">
    <w:name w:val="Grid Table 4"/>
    <w:basedOn w:val="13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225">
    <w:name w:val="Grid Table 4 - Accent 1"/>
    <w:basedOn w:val="13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226">
    <w:name w:val="Grid Table 4 - Accent 2"/>
    <w:basedOn w:val="13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227">
    <w:name w:val="Grid Table 4 - Accent 3"/>
    <w:basedOn w:val="13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228">
    <w:name w:val="Grid Table 4 - Accent 4"/>
    <w:basedOn w:val="13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229">
    <w:name w:val="Grid Table 4 - Accent 5"/>
    <w:basedOn w:val="13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230">
    <w:name w:val="Grid Table 4 - Accent 6"/>
    <w:basedOn w:val="13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231">
    <w:name w:val="Grid Table 5 Dark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232">
    <w:name w:val="Grid Table 5 Dark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233">
    <w:name w:val="Grid Table 5 Dark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234">
    <w:name w:val="Grid Table 5 Dark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235">
    <w:name w:val="Grid Table 5 Dark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236">
    <w:name w:val="Grid Table 5 Dark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237">
    <w:name w:val="Grid Table 5 Dark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238">
    <w:name w:val="Grid Table 6 Colorful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239">
    <w:name w:val="Grid Table 6 Colorful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240">
    <w:name w:val="Grid Table 6 Colorful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241">
    <w:name w:val="Grid Table 6 Colorful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242">
    <w:name w:val="Grid Table 6 Colorful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243">
    <w:name w:val="Grid Table 6 Colorful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44">
    <w:name w:val="Grid Table 6 Colorful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245">
    <w:name w:val="Grid Table 7 Colorful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6">
    <w:name w:val="Grid Table 7 Colorful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7">
    <w:name w:val="Grid Table 7 Colorful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8">
    <w:name w:val="Grid Table 7 Colorful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49">
    <w:name w:val="Grid Table 7 Colorful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0">
    <w:name w:val="Grid Table 7 Colorful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1">
    <w:name w:val="Grid Table 7 Colorful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2">
    <w:name w:val="List Table 1 Light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3">
    <w:name w:val="List Table 1 Light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4">
    <w:name w:val="List Table 1 Light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5">
    <w:name w:val="List Table 1 Light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6">
    <w:name w:val="List Table 1 Light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7">
    <w:name w:val="List Table 1 Light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8">
    <w:name w:val="List Table 1 Light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59">
    <w:name w:val="List Table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260">
    <w:name w:val="List Table 2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261">
    <w:name w:val="List Table 2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262">
    <w:name w:val="List Table 2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263">
    <w:name w:val="List Table 2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264">
    <w:name w:val="List Table 2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265">
    <w:name w:val="List Table 2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266">
    <w:name w:val="List Table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7">
    <w:name w:val="List Table 3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8">
    <w:name w:val="List Table 3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9">
    <w:name w:val="List Table 3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0">
    <w:name w:val="List Table 3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1">
    <w:name w:val="List Table 3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2">
    <w:name w:val="List Table 3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3">
    <w:name w:val="List Table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4">
    <w:name w:val="List Table 4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5">
    <w:name w:val="List Table 4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6">
    <w:name w:val="List Table 4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7">
    <w:name w:val="List Table 4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8">
    <w:name w:val="List Table 4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9">
    <w:name w:val="List Table 4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0">
    <w:name w:val="List Table 5 Dark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1">
    <w:name w:val="List Table 5 Dark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2">
    <w:name w:val="List Table 5 Dark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3">
    <w:name w:val="List Table 5 Dark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4">
    <w:name w:val="List Table 5 Dark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5">
    <w:name w:val="List Table 5 Dark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6">
    <w:name w:val="List Table 5 Dark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87">
    <w:name w:val="List Table 6 Colorful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288">
    <w:name w:val="List Table 6 Colorful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289">
    <w:name w:val="List Table 6 Colorful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290">
    <w:name w:val="List Table 6 Colorful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291">
    <w:name w:val="List Table 6 Colorful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292">
    <w:name w:val="List Table 6 Colorful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293">
    <w:name w:val="List Table 6 Colorful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294">
    <w:name w:val="List Table 7 Colorful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295">
    <w:name w:val="List Table 7 Colorful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296">
    <w:name w:val="List Table 7 Colorful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297">
    <w:name w:val="List Table 7 Colorful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298">
    <w:name w:val="List Table 7 Colorful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299">
    <w:name w:val="List Table 7 Colorful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300">
    <w:name w:val="List Table 7 Colorful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301">
    <w:name w:val="Lined - Accent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02">
    <w:name w:val="Lined - Accent 1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303">
    <w:name w:val="Lined - Accent 2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304">
    <w:name w:val="Lined - Accent 3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305">
    <w:name w:val="Lined - Accent 4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306">
    <w:name w:val="Lined - Accent 5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307">
    <w:name w:val="Lined - Accent 6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308">
    <w:name w:val="Bordered &amp; Lined - Accent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309">
    <w:name w:val="Bordered &amp; Lined - Accent 1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310">
    <w:name w:val="Bordered &amp; Lined - Accent 2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311">
    <w:name w:val="Bordered &amp; Lined - Accent 3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312">
    <w:name w:val="Bordered &amp; Lined - Accent 4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313">
    <w:name w:val="Bordered &amp; Lined - Accent 5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314">
    <w:name w:val="Bordered &amp; Lined - Accent 6"/>
    <w:basedOn w:val="13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315">
    <w:name w:val="Bordered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316">
    <w:name w:val="Bordered - Accent 1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317">
    <w:name w:val="Bordered - Accent 2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318">
    <w:name w:val="Bordered - Accent 3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319">
    <w:name w:val="Bordered - Accent 4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320">
    <w:name w:val="Bordered - Accent 5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321">
    <w:name w:val="Bordered - Accent 6"/>
    <w:basedOn w:val="13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322">
    <w:name w:val="Hyperlink"/>
    <w:uiPriority w:val="99"/>
    <w:unhideWhenUsed/>
    <w:rPr>
      <w:color w:val="0000ff" w:themeColor="hyperlink"/>
      <w:u w:val="single"/>
    </w:rPr>
  </w:style>
  <w:style w:type="paragraph" w:styleId="1323">
    <w:name w:val="footnote text"/>
    <w:basedOn w:val="1340"/>
    <w:link w:val="1324"/>
    <w:uiPriority w:val="99"/>
    <w:semiHidden/>
    <w:unhideWhenUsed/>
    <w:pPr>
      <w:spacing w:after="40" w:line="240" w:lineRule="auto"/>
    </w:pPr>
    <w:rPr>
      <w:sz w:val="18"/>
    </w:rPr>
  </w:style>
  <w:style w:type="character" w:styleId="1324">
    <w:name w:val="Footnote Text Char"/>
    <w:link w:val="1323"/>
    <w:uiPriority w:val="99"/>
    <w:rPr>
      <w:sz w:val="18"/>
    </w:rPr>
  </w:style>
  <w:style w:type="character" w:styleId="1325">
    <w:name w:val="footnote reference"/>
    <w:uiPriority w:val="99"/>
    <w:unhideWhenUsed/>
    <w:rPr>
      <w:vertAlign w:val="superscript"/>
    </w:rPr>
  </w:style>
  <w:style w:type="paragraph" w:styleId="1326">
    <w:name w:val="endnote text"/>
    <w:basedOn w:val="1340"/>
    <w:link w:val="1327"/>
    <w:uiPriority w:val="99"/>
    <w:semiHidden/>
    <w:unhideWhenUsed/>
    <w:pPr>
      <w:spacing w:after="0" w:line="240" w:lineRule="auto"/>
    </w:pPr>
    <w:rPr>
      <w:sz w:val="20"/>
    </w:rPr>
  </w:style>
  <w:style w:type="character" w:styleId="1327">
    <w:name w:val="Endnote Text Char"/>
    <w:link w:val="1326"/>
    <w:uiPriority w:val="99"/>
    <w:rPr>
      <w:sz w:val="20"/>
    </w:rPr>
  </w:style>
  <w:style w:type="character" w:styleId="1328">
    <w:name w:val="endnote reference"/>
    <w:uiPriority w:val="99"/>
    <w:semiHidden/>
    <w:unhideWhenUsed/>
    <w:rPr>
      <w:vertAlign w:val="superscript"/>
    </w:rPr>
  </w:style>
  <w:style w:type="paragraph" w:styleId="1329">
    <w:name w:val="toc 1"/>
    <w:basedOn w:val="1340"/>
    <w:next w:val="1340"/>
    <w:uiPriority w:val="39"/>
    <w:unhideWhenUsed/>
    <w:pPr>
      <w:ind w:left="0" w:right="0" w:firstLine="0"/>
      <w:spacing w:after="57"/>
    </w:pPr>
  </w:style>
  <w:style w:type="paragraph" w:styleId="1330">
    <w:name w:val="toc 2"/>
    <w:basedOn w:val="1340"/>
    <w:next w:val="1340"/>
    <w:uiPriority w:val="39"/>
    <w:unhideWhenUsed/>
    <w:pPr>
      <w:ind w:left="283" w:right="0" w:firstLine="0"/>
      <w:spacing w:after="57"/>
    </w:pPr>
  </w:style>
  <w:style w:type="paragraph" w:styleId="1331">
    <w:name w:val="toc 3"/>
    <w:basedOn w:val="1340"/>
    <w:next w:val="1340"/>
    <w:uiPriority w:val="39"/>
    <w:unhideWhenUsed/>
    <w:pPr>
      <w:ind w:left="567" w:right="0" w:firstLine="0"/>
      <w:spacing w:after="57"/>
    </w:pPr>
  </w:style>
  <w:style w:type="paragraph" w:styleId="1332">
    <w:name w:val="toc 4"/>
    <w:basedOn w:val="1340"/>
    <w:next w:val="1340"/>
    <w:uiPriority w:val="39"/>
    <w:unhideWhenUsed/>
    <w:pPr>
      <w:ind w:left="850" w:right="0" w:firstLine="0"/>
      <w:spacing w:after="57"/>
    </w:pPr>
  </w:style>
  <w:style w:type="paragraph" w:styleId="1333">
    <w:name w:val="toc 5"/>
    <w:basedOn w:val="1340"/>
    <w:next w:val="1340"/>
    <w:uiPriority w:val="39"/>
    <w:unhideWhenUsed/>
    <w:pPr>
      <w:ind w:left="1134" w:right="0" w:firstLine="0"/>
      <w:spacing w:after="57"/>
    </w:pPr>
  </w:style>
  <w:style w:type="paragraph" w:styleId="1334">
    <w:name w:val="toc 6"/>
    <w:basedOn w:val="1340"/>
    <w:next w:val="1340"/>
    <w:uiPriority w:val="39"/>
    <w:unhideWhenUsed/>
    <w:pPr>
      <w:ind w:left="1417" w:right="0" w:firstLine="0"/>
      <w:spacing w:after="57"/>
    </w:pPr>
  </w:style>
  <w:style w:type="paragraph" w:styleId="1335">
    <w:name w:val="toc 7"/>
    <w:basedOn w:val="1340"/>
    <w:next w:val="1340"/>
    <w:uiPriority w:val="39"/>
    <w:unhideWhenUsed/>
    <w:pPr>
      <w:ind w:left="1701" w:right="0" w:firstLine="0"/>
      <w:spacing w:after="57"/>
    </w:pPr>
  </w:style>
  <w:style w:type="paragraph" w:styleId="1336">
    <w:name w:val="toc 8"/>
    <w:basedOn w:val="1340"/>
    <w:next w:val="1340"/>
    <w:uiPriority w:val="39"/>
    <w:unhideWhenUsed/>
    <w:pPr>
      <w:ind w:left="1984" w:right="0" w:firstLine="0"/>
      <w:spacing w:after="57"/>
    </w:pPr>
  </w:style>
  <w:style w:type="paragraph" w:styleId="1337">
    <w:name w:val="toc 9"/>
    <w:basedOn w:val="1340"/>
    <w:next w:val="1340"/>
    <w:uiPriority w:val="39"/>
    <w:unhideWhenUsed/>
    <w:pPr>
      <w:ind w:left="2268" w:right="0" w:firstLine="0"/>
      <w:spacing w:after="57"/>
    </w:pPr>
  </w:style>
  <w:style w:type="paragraph" w:styleId="1338">
    <w:name w:val="TOC Heading"/>
    <w:uiPriority w:val="39"/>
    <w:unhideWhenUsed/>
  </w:style>
  <w:style w:type="paragraph" w:styleId="1339">
    <w:name w:val="table of figures"/>
    <w:basedOn w:val="1340"/>
    <w:next w:val="1340"/>
    <w:uiPriority w:val="99"/>
    <w:unhideWhenUsed/>
    <w:pPr>
      <w:spacing w:after="0" w:afterAutospacing="0"/>
    </w:pPr>
  </w:style>
  <w:style w:type="paragraph" w:styleId="1340" w:default="1">
    <w:name w:val="Normal"/>
    <w:qFormat/>
  </w:style>
  <w:style w:type="table" w:styleId="134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342" w:default="1">
    <w:name w:val="No List"/>
    <w:uiPriority w:val="99"/>
    <w:semiHidden/>
    <w:unhideWhenUsed/>
  </w:style>
  <w:style w:type="paragraph" w:styleId="1343">
    <w:name w:val="No Spacing"/>
    <w:basedOn w:val="1340"/>
    <w:uiPriority w:val="1"/>
    <w:qFormat/>
    <w:pPr>
      <w:spacing w:after="0" w:line="240" w:lineRule="auto"/>
    </w:pPr>
  </w:style>
  <w:style w:type="paragraph" w:styleId="1344">
    <w:name w:val="List Paragraph"/>
    <w:basedOn w:val="1340"/>
    <w:uiPriority w:val="34"/>
    <w:qFormat/>
    <w:pPr>
      <w:contextualSpacing/>
      <w:ind w:left="720"/>
    </w:pPr>
  </w:style>
  <w:style w:type="character" w:styleId="1345" w:default="1">
    <w:name w:val="Default Paragraph Font"/>
    <w:uiPriority w:val="1"/>
    <w:semiHidden/>
    <w:unhideWhenUsed/>
  </w:style>
  <w:style w:type="paragraph" w:styleId="1346" w:customStyle="1">
    <w:name w:val="Body Text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10"/>
      <w:szCs w:val="10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roskachestvo.gov.ru/q-leader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modified xsi:type="dcterms:W3CDTF">2025-05-05T07:50:54Z</dcterms:modified>
</cp:coreProperties>
</file>